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60" w:rsidRPr="00934FB7" w:rsidRDefault="00934FB7" w:rsidP="00934FB7">
      <w:pPr>
        <w:pStyle w:val="ConsPlusNormal"/>
        <w:ind w:firstLine="851"/>
        <w:rPr>
          <w:b/>
          <w:sz w:val="28"/>
          <w:szCs w:val="28"/>
        </w:rPr>
      </w:pPr>
      <w:r w:rsidRPr="00934FB7">
        <w:rPr>
          <w:b/>
          <w:sz w:val="28"/>
          <w:szCs w:val="28"/>
        </w:rPr>
        <w:t>Сверхурочная работа: оформление и оплата</w:t>
      </w:r>
    </w:p>
    <w:p w:rsidR="00934FB7" w:rsidRDefault="00934FB7" w:rsidP="00934FB7">
      <w:pPr>
        <w:pStyle w:val="ConsPlusNormal"/>
        <w:ind w:firstLine="851"/>
        <w:rPr>
          <w:sz w:val="28"/>
          <w:szCs w:val="28"/>
        </w:rPr>
      </w:pPr>
    </w:p>
    <w:p w:rsidR="005D7702" w:rsidRDefault="005D7702" w:rsidP="00934FB7">
      <w:pPr>
        <w:pStyle w:val="ConsPlusNormal"/>
        <w:ind w:firstLine="851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Разъясняет старший помощник прокурора </w:t>
      </w:r>
      <w:proofErr w:type="spellStart"/>
      <w:r w:rsidRPr="00934FB7">
        <w:rPr>
          <w:sz w:val="28"/>
          <w:szCs w:val="28"/>
        </w:rPr>
        <w:t>Сеймского</w:t>
      </w:r>
      <w:proofErr w:type="spellEnd"/>
      <w:r w:rsidRPr="00934FB7">
        <w:rPr>
          <w:sz w:val="28"/>
          <w:szCs w:val="28"/>
        </w:rPr>
        <w:t xml:space="preserve"> округа </w:t>
      </w:r>
      <w:proofErr w:type="spellStart"/>
      <w:r w:rsidRPr="00934FB7">
        <w:rPr>
          <w:sz w:val="28"/>
          <w:szCs w:val="28"/>
        </w:rPr>
        <w:t>г.Курска</w:t>
      </w:r>
      <w:proofErr w:type="spellEnd"/>
      <w:r w:rsidRPr="00934FB7">
        <w:rPr>
          <w:sz w:val="28"/>
          <w:szCs w:val="28"/>
        </w:rPr>
        <w:t xml:space="preserve"> Борисенко Екатерина</w:t>
      </w:r>
    </w:p>
    <w:p w:rsidR="00934FB7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</w:p>
    <w:p w:rsidR="00CC0760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Сверхурочная работа </w:t>
      </w:r>
      <w:r w:rsidR="005D7702" w:rsidRPr="00934FB7">
        <w:rPr>
          <w:sz w:val="28"/>
          <w:szCs w:val="28"/>
        </w:rPr>
        <w:t>–</w:t>
      </w:r>
      <w:r w:rsidRPr="00934FB7">
        <w:rPr>
          <w:sz w:val="28"/>
          <w:szCs w:val="28"/>
        </w:rPr>
        <w:t xml:space="preserve"> </w:t>
      </w:r>
      <w:r w:rsidR="005D7702" w:rsidRPr="00934FB7">
        <w:rPr>
          <w:sz w:val="28"/>
          <w:szCs w:val="28"/>
        </w:rPr>
        <w:t xml:space="preserve">это </w:t>
      </w:r>
      <w:r w:rsidRPr="00934FB7">
        <w:rPr>
          <w:sz w:val="28"/>
          <w:szCs w:val="28"/>
        </w:rPr>
        <w:t>выполняемая по инициативе работодателя работа за пределами установленной для работника продолжительности ежедневной работы (смены), а при суммированном учете - сверх нормы рабочих часов за учетный период (ст. 99 ТК РФ).</w:t>
      </w:r>
    </w:p>
    <w:p w:rsidR="00CC0760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  <w:r w:rsidRPr="00934FB7">
        <w:rPr>
          <w:sz w:val="28"/>
          <w:szCs w:val="28"/>
        </w:rPr>
        <w:t>Сверхурочная работа не может превышать 4 часов за 2 два дня подряд и 120 часов в год. При суммированном учете переработку определяют за учетный период. Компенсация за сверхурочную работу - доплата или отгул по выбору работника (ст. 99 ТК РФ).</w:t>
      </w:r>
    </w:p>
    <w:p w:rsidR="00CC0760" w:rsidRPr="00934FB7" w:rsidRDefault="005D7702" w:rsidP="00934FB7">
      <w:pPr>
        <w:pStyle w:val="ConsPlusNormal"/>
        <w:ind w:firstLine="851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О привлечении работника к </w:t>
      </w:r>
      <w:r w:rsidR="00934FB7" w:rsidRPr="00934FB7">
        <w:rPr>
          <w:sz w:val="28"/>
          <w:szCs w:val="28"/>
        </w:rPr>
        <w:t>сверхурочной работе</w:t>
      </w:r>
      <w:r w:rsidRPr="00934FB7">
        <w:rPr>
          <w:sz w:val="28"/>
          <w:szCs w:val="28"/>
        </w:rPr>
        <w:t xml:space="preserve"> работодатель должен и</w:t>
      </w:r>
      <w:r w:rsidRPr="00934FB7">
        <w:rPr>
          <w:sz w:val="28"/>
          <w:szCs w:val="28"/>
        </w:rPr>
        <w:t>зда</w:t>
      </w:r>
      <w:r w:rsidRPr="00934FB7">
        <w:rPr>
          <w:sz w:val="28"/>
          <w:szCs w:val="28"/>
        </w:rPr>
        <w:t>ть</w:t>
      </w:r>
      <w:r w:rsidRPr="00934FB7">
        <w:rPr>
          <w:sz w:val="28"/>
          <w:szCs w:val="28"/>
        </w:rPr>
        <w:t xml:space="preserve"> приказ</w:t>
      </w:r>
      <w:r w:rsidRPr="00934FB7">
        <w:rPr>
          <w:sz w:val="28"/>
          <w:szCs w:val="28"/>
        </w:rPr>
        <w:t xml:space="preserve">, а также </w:t>
      </w:r>
      <w:r w:rsidR="00934FB7" w:rsidRPr="00934FB7">
        <w:rPr>
          <w:sz w:val="28"/>
          <w:szCs w:val="28"/>
        </w:rPr>
        <w:t>получит</w:t>
      </w:r>
      <w:r w:rsidRPr="00934FB7">
        <w:rPr>
          <w:sz w:val="28"/>
          <w:szCs w:val="28"/>
        </w:rPr>
        <w:t>ь</w:t>
      </w:r>
      <w:r w:rsidR="00934FB7" w:rsidRPr="00934FB7">
        <w:rPr>
          <w:sz w:val="28"/>
          <w:szCs w:val="28"/>
        </w:rPr>
        <w:t xml:space="preserve"> письменное согласие работника на нее. Согласие можно оформить в виде отдельного документа или подтвердить распиской работника в приказе (ст. 99 ТК РФ</w:t>
      </w:r>
      <w:r w:rsidR="00934FB7" w:rsidRPr="00934FB7">
        <w:rPr>
          <w:sz w:val="28"/>
          <w:szCs w:val="28"/>
        </w:rPr>
        <w:t>).</w:t>
      </w:r>
    </w:p>
    <w:p w:rsidR="00CC0760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  <w:bookmarkStart w:id="0" w:name="P7"/>
      <w:bookmarkStart w:id="1" w:name="P20"/>
      <w:bookmarkEnd w:id="0"/>
      <w:bookmarkEnd w:id="1"/>
      <w:r w:rsidRPr="00934FB7">
        <w:rPr>
          <w:sz w:val="28"/>
          <w:szCs w:val="28"/>
        </w:rPr>
        <w:t>Минимальный р</w:t>
      </w:r>
      <w:bookmarkStart w:id="2" w:name="_GoBack"/>
      <w:bookmarkEnd w:id="2"/>
      <w:r w:rsidRPr="00934FB7">
        <w:rPr>
          <w:sz w:val="28"/>
          <w:szCs w:val="28"/>
        </w:rPr>
        <w:t>азмер оплаты считают исходя из зарплаты с учетом компенсационных и стимулирующих выплат - в полуторном размере за первые два часа сверхурочной работы, в двойном - за каждый следующий.</w:t>
      </w:r>
    </w:p>
    <w:p w:rsidR="00CC0760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  <w:r w:rsidRPr="00934FB7">
        <w:rPr>
          <w:sz w:val="28"/>
          <w:szCs w:val="28"/>
        </w:rPr>
        <w:t>О желании взять отгул за сверхурочную работу работник может сообщить в своем согласии на привле</w:t>
      </w:r>
      <w:r w:rsidRPr="00934FB7">
        <w:rPr>
          <w:sz w:val="28"/>
          <w:szCs w:val="28"/>
        </w:rPr>
        <w:t>чение к работе или в отдельном заявлении. При предоставлении дополнительного времени отдыха сверхурочную работу оплатите в одинарном размере (ст. 152 ТК РФ).</w:t>
      </w:r>
    </w:p>
    <w:p w:rsidR="00CC0760" w:rsidRPr="00934FB7" w:rsidRDefault="00934FB7" w:rsidP="00934FB7">
      <w:pPr>
        <w:pStyle w:val="ConsPlusNormal"/>
        <w:ind w:firstLine="851"/>
        <w:jc w:val="both"/>
        <w:rPr>
          <w:sz w:val="28"/>
          <w:szCs w:val="28"/>
        </w:rPr>
      </w:pPr>
      <w:bookmarkStart w:id="3" w:name="P53"/>
      <w:bookmarkStart w:id="4" w:name="P66"/>
      <w:bookmarkEnd w:id="3"/>
      <w:bookmarkEnd w:id="4"/>
      <w:r w:rsidRPr="00934FB7">
        <w:rPr>
          <w:sz w:val="28"/>
          <w:szCs w:val="28"/>
        </w:rPr>
        <w:t xml:space="preserve">При </w:t>
      </w:r>
      <w:r w:rsidRPr="00934FB7">
        <w:rPr>
          <w:sz w:val="28"/>
          <w:szCs w:val="28"/>
        </w:rPr>
        <w:t>ненормированном рабочем дне работу за пределами рабочего времени как сверхурочную работу не оформляют и не оплачивают, как и р</w:t>
      </w:r>
      <w:r w:rsidRPr="00934FB7">
        <w:rPr>
          <w:sz w:val="28"/>
          <w:szCs w:val="28"/>
        </w:rPr>
        <w:t>аботу в выходной день или праздник.</w:t>
      </w:r>
    </w:p>
    <w:p w:rsidR="00CC0760" w:rsidRPr="00934FB7" w:rsidRDefault="00CC0760" w:rsidP="00934FB7">
      <w:pPr>
        <w:pStyle w:val="ConsPlusNormal"/>
        <w:ind w:firstLine="851"/>
        <w:jc w:val="both"/>
        <w:rPr>
          <w:sz w:val="28"/>
          <w:szCs w:val="28"/>
        </w:rPr>
      </w:pPr>
    </w:p>
    <w:sectPr w:rsidR="00CC0760" w:rsidRPr="00934FB7" w:rsidSect="005D7702">
      <w:headerReference w:type="default" r:id="rId7"/>
      <w:footerReference w:type="default" r:id="rId8"/>
      <w:footerReference w:type="first" r:id="rId9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4FB7">
      <w:r>
        <w:separator/>
      </w:r>
    </w:p>
  </w:endnote>
  <w:endnote w:type="continuationSeparator" w:id="0">
    <w:p w:rsidR="00000000" w:rsidRDefault="0093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760" w:rsidRDefault="00CC076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07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0760" w:rsidRDefault="00934FB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0760" w:rsidRDefault="00934FB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CC0760" w:rsidRDefault="00934FB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C0760" w:rsidRDefault="00934FB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760" w:rsidRDefault="00934FB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4FB7">
      <w:r>
        <w:separator/>
      </w:r>
    </w:p>
  </w:footnote>
  <w:footnote w:type="continuationSeparator" w:id="0">
    <w:p w:rsidR="00000000" w:rsidRDefault="0093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C07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0760" w:rsidRDefault="00934FB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Типовая ситуация: Сверхурочная работа: оформление и оплата</w:t>
          </w:r>
          <w:r>
            <w:rPr>
              <w:rFonts w:ascii="Tahoma" w:hAnsi="Tahoma" w:cs="Tahoma"/>
              <w:sz w:val="16"/>
              <w:szCs w:val="16"/>
            </w:rPr>
            <w:br/>
            <w:t>(Издательство "Главная книга", 2025)</w:t>
          </w:r>
        </w:p>
      </w:tc>
      <w:tc>
        <w:tcPr>
          <w:tcW w:w="2300" w:type="pct"/>
          <w:vAlign w:val="center"/>
        </w:tcPr>
        <w:p w:rsidR="00CC0760" w:rsidRDefault="00934FB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 w:rsidR="00CC0760" w:rsidRDefault="00CC076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C0760" w:rsidRDefault="00CC076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10F42"/>
    <w:multiLevelType w:val="multilevel"/>
    <w:tmpl w:val="05B073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60"/>
    <w:rsid w:val="005D7702"/>
    <w:rsid w:val="00934FB7"/>
    <w:rsid w:val="00C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D870"/>
  <w15:docId w15:val="{626E9E59-B51B-4B77-971F-46B0E746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D77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702"/>
  </w:style>
  <w:style w:type="paragraph" w:styleId="a5">
    <w:name w:val="footer"/>
    <w:basedOn w:val="a"/>
    <w:link w:val="a6"/>
    <w:uiPriority w:val="99"/>
    <w:unhideWhenUsed/>
    <w:rsid w:val="005D77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ситуация: Сверхурочная работа: оформление и оплата
(Издательство "Главная книга", 2025)</vt:lpstr>
    </vt:vector>
  </TitlesOfParts>
  <Company>КонсультантПлюс Версия 4024.00.50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ситуация: Сверхурочная работа: оформление и оплата
(Издательство "Главная книга", 2025)</dc:title>
  <dc:creator>Борисенко Екатерина Сергеевна</dc:creator>
  <cp:lastModifiedBy>Борисенко Екатерина Сергеевна</cp:lastModifiedBy>
  <cp:revision>2</cp:revision>
  <dcterms:created xsi:type="dcterms:W3CDTF">2025-06-19T12:01:00Z</dcterms:created>
  <dcterms:modified xsi:type="dcterms:W3CDTF">2025-06-19T12:01:00Z</dcterms:modified>
</cp:coreProperties>
</file>